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  Подразделение ИВДИВО Днепр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Парадигмальный Совет ИВО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Протокол Совета от 18.03.2025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Согласовано ИВАС Иосифом 21.03.2025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Глава Совета Параигмы Лескина Н 21.03.2025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wljp073t9xv6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1.Лескина Н. </w:t>
        <w:br w:type="textWrapping"/>
        <w:t xml:space="preserve">2.Соколова Л.</w:t>
        <w:br w:type="textWrapping"/>
        <w:t xml:space="preserve">3.Тимошенко А.</w:t>
        <w:br w:type="textWrapping"/>
        <w:t xml:space="preserve">4.Богданова Ю </w:t>
        <w:br w:type="textWrapping"/>
        <w:t xml:space="preserve">5.Дашкова С.</w:t>
        <w:br w:type="textWrapping"/>
        <w:t xml:space="preserve">6.Степаненко И.</w:t>
        <w:br w:type="textWrapping"/>
        <w:t xml:space="preserve">онлайн:</w:t>
        <w:br w:type="textWrapping"/>
        <w:t xml:space="preserve">7.Ивахненко Р.   </w:t>
        <w:br w:type="textWrapping"/>
        <w:t xml:space="preserve">8.Шевченко М</w:t>
        <w:br w:type="textWrapping"/>
        <w:t xml:space="preserve">9 Картузова Т.</w:t>
        <w:br w:type="textWrapping"/>
        <w:t xml:space="preserve">10 Коваленко В.</w:t>
        <w:br w:type="textWrapping"/>
        <w:t xml:space="preserve">16 Сулима Т.</w:t>
        <w:br w:type="textWrapping"/>
        <w:t xml:space="preserve">17.Стецюк Т.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 Огородняя Л.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19 Нестерова Н.</w:t>
        <w:br w:type="textWrapping"/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Состоялись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</w:t>
        <w:br w:type="textWrapping"/>
        <w:t xml:space="preserve">1. Вхождение в явление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Философа Синтеза кин в специфике служения в выражении ИВАС КХ собою, с обновлением формы и инструментов, а также вхождение в явление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Вечной Сверхкосмической Синтез-Академии Парадигмы Философии Стратагемии ИВО ИВАС Иосифа ИВО ИВАС Кут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Хуми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 тема:  Субстанциональная Субъядернорсть Аватара Организации.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 Акцент на разработку Совершенного Сердца ( Розу Сердца, Лотос… по номеру организации ДП)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Вникновение в основные стратегические направления разработки части Восприятие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6u3ohwticjrp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Станца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Теургия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Восприяти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 Эфтичность Эманации»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tl299k5gj13b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Задачи: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 План Синтеза на март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-.Расшифровка 16-рицы Парадигмы Восприятия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Ответственным ДП за разработку позиций 16-р парадигмальных оснований  Восприятия проработка и дополнение их на основании соответств. семинаров ИВДИВО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Разработка по алгоритму проведенного на Совете тренинга Субстанциональной Субьядерности с ИВАС Организации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-Подготовка доклада на Съезд ИВДИВО 2025г.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-Подготовка материалов для тематических сборников по разработкам ДП подразделения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Проработка Академических Синтезов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40" w:lineRule="auto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kkj9adra749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Служение темами и практиками в зданиях Подразделений во время дежурства.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Тимошенко Анна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70c0"/>
        </w:rPr>
      </w:pPr>
      <w:bookmarkStart w:colFirst="0" w:colLast="0" w:name="_p8s1fqu86zxt" w:id="4"/>
      <w:bookmarkEnd w:id="4"/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134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